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B16DF8" w:rsidRDefault="00B16DF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7047B8">
        <w:rPr>
          <w:rStyle w:val="a3"/>
          <w:rFonts w:ascii="Times New Roman" w:hAnsi="Times New Roman" w:cs="Times New Roman"/>
          <w:b w:val="0"/>
          <w:color w:val="000000"/>
          <w:u w:val="single"/>
        </w:rPr>
        <w:t>546</w:t>
      </w:r>
      <w:r w:rsidR="00B16DF8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2726E4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4A43DD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B16DF8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4A43DD">
        <w:rPr>
          <w:rStyle w:val="a3"/>
          <w:rFonts w:ascii="Times New Roman" w:hAnsi="Times New Roman" w:cs="Times New Roman"/>
          <w:b w:val="0"/>
          <w:color w:val="000000"/>
          <w:u w:val="single"/>
        </w:rPr>
        <w:t>01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4A43DD">
        <w:rPr>
          <w:rStyle w:val="a3"/>
          <w:rFonts w:ascii="Times New Roman" w:hAnsi="Times New Roman" w:cs="Times New Roman"/>
          <w:b w:val="0"/>
          <w:color w:val="000000"/>
          <w:u w:val="single"/>
        </w:rPr>
        <w:t>10.2020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B059AF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B059A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059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муниципального района </w:t>
      </w:r>
      <w:r w:rsidR="00481528">
        <w:rPr>
          <w:sz w:val="28"/>
          <w:szCs w:val="28"/>
        </w:rPr>
        <w:t>Б</w:t>
      </w:r>
      <w:r w:rsidR="00F01A9C">
        <w:rPr>
          <w:sz w:val="28"/>
          <w:szCs w:val="28"/>
        </w:rPr>
        <w:t>орский Самарской области на 2021</w:t>
      </w:r>
      <w:r>
        <w:rPr>
          <w:sz w:val="28"/>
          <w:szCs w:val="28"/>
        </w:rPr>
        <w:t xml:space="preserve"> год и на плановый период 20</w:t>
      </w:r>
      <w:r w:rsidR="00F01A9C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F01A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>Положением «О бюджетном устройстве и бюджетном процессе в муниципальном районе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 муниципального</w:t>
      </w:r>
      <w:proofErr w:type="gramEnd"/>
      <w:r>
        <w:rPr>
          <w:color w:val="000000"/>
          <w:sz w:val="28"/>
          <w:szCs w:val="28"/>
        </w:rPr>
        <w:t xml:space="preserve"> района Борский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color w:val="000000"/>
          <w:sz w:val="28"/>
          <w:szCs w:val="28"/>
        </w:rPr>
        <w:t>плановый период</w:t>
      </w:r>
      <w:proofErr w:type="gramStart"/>
      <w:r w:rsidR="00E52705">
        <w:rPr>
          <w:color w:val="000000"/>
          <w:sz w:val="28"/>
          <w:szCs w:val="28"/>
        </w:rPr>
        <w:t>,</w:t>
      </w:r>
      <w:r w:rsidR="00E52705" w:rsidRPr="002579E7">
        <w:rPr>
          <w:color w:val="000000"/>
          <w:sz w:val="28"/>
          <w:szCs w:val="28"/>
        </w:rPr>
        <w:t>с</w:t>
      </w:r>
      <w:proofErr w:type="gramEnd"/>
      <w:r w:rsidR="00E52705" w:rsidRPr="002579E7">
        <w:rPr>
          <w:color w:val="000000"/>
          <w:sz w:val="28"/>
          <w:szCs w:val="28"/>
        </w:rPr>
        <w:t>одержат основные цели, задачи налоговой политики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6675C4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7AF" w:rsidRPr="00F74129">
        <w:rPr>
          <w:sz w:val="28"/>
          <w:szCs w:val="28"/>
        </w:rPr>
        <w:t xml:space="preserve"> Основны</w:t>
      </w:r>
      <w:r w:rsidR="00074138">
        <w:rPr>
          <w:sz w:val="28"/>
          <w:szCs w:val="28"/>
        </w:rPr>
        <w:t>х</w:t>
      </w:r>
      <w:r w:rsidR="00FF07AF"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="00FF07AF" w:rsidRPr="00F74129">
        <w:rPr>
          <w:sz w:val="28"/>
          <w:szCs w:val="28"/>
        </w:rPr>
        <w:t xml:space="preserve"> бюджетной, налоговой и таможе</w:t>
      </w:r>
      <w:r w:rsidR="00FF07AF">
        <w:rPr>
          <w:sz w:val="28"/>
          <w:szCs w:val="28"/>
        </w:rPr>
        <w:t>н</w:t>
      </w:r>
      <w:r w:rsidR="00FF07AF" w:rsidRPr="00F74129">
        <w:rPr>
          <w:sz w:val="28"/>
          <w:szCs w:val="28"/>
        </w:rPr>
        <w:t>но-тарифной политики</w:t>
      </w:r>
      <w:r w:rsidR="00FF07AF" w:rsidRPr="00F74129">
        <w:rPr>
          <w:color w:val="000000"/>
          <w:sz w:val="28"/>
          <w:szCs w:val="28"/>
        </w:rPr>
        <w:t xml:space="preserve"> Российской Федерации</w:t>
      </w:r>
      <w:r w:rsidR="00F01A9C">
        <w:rPr>
          <w:sz w:val="28"/>
          <w:szCs w:val="28"/>
        </w:rPr>
        <w:t xml:space="preserve"> на 2021</w:t>
      </w:r>
      <w:r w:rsidR="00FF07AF" w:rsidRPr="00F74129">
        <w:rPr>
          <w:sz w:val="28"/>
          <w:szCs w:val="28"/>
        </w:rPr>
        <w:t xml:space="preserve"> год и плановый период 20</w:t>
      </w:r>
      <w:r w:rsidR="00F01A9C">
        <w:rPr>
          <w:sz w:val="28"/>
          <w:szCs w:val="28"/>
        </w:rPr>
        <w:t>22</w:t>
      </w:r>
      <w:r w:rsidR="00FF07AF" w:rsidRPr="00F74129">
        <w:rPr>
          <w:sz w:val="28"/>
          <w:szCs w:val="28"/>
        </w:rPr>
        <w:t xml:space="preserve"> и 202</w:t>
      </w:r>
      <w:r w:rsidR="00F01A9C">
        <w:rPr>
          <w:sz w:val="28"/>
          <w:szCs w:val="28"/>
        </w:rPr>
        <w:t>3</w:t>
      </w:r>
      <w:r w:rsidR="00FF07AF" w:rsidRPr="00F74129">
        <w:rPr>
          <w:sz w:val="28"/>
          <w:szCs w:val="28"/>
        </w:rPr>
        <w:t xml:space="preserve"> годов</w:t>
      </w:r>
      <w:r w:rsidR="00FF07AF">
        <w:rPr>
          <w:sz w:val="28"/>
          <w:szCs w:val="28"/>
        </w:rPr>
        <w:t>;</w:t>
      </w:r>
    </w:p>
    <w:p w:rsid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55011">
        <w:rPr>
          <w:rFonts w:eastAsia="Arial Unicode MS"/>
          <w:color w:val="000000"/>
          <w:sz w:val="28"/>
          <w:szCs w:val="28"/>
        </w:rPr>
        <w:t>;</w:t>
      </w:r>
    </w:p>
    <w:p w:rsidR="00EE7A2E" w:rsidRDefault="00EE7A2E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-</w:t>
      </w:r>
      <w:r w:rsidRPr="0017667D">
        <w:rPr>
          <w:bCs/>
          <w:sz w:val="28"/>
          <w:szCs w:val="28"/>
        </w:rPr>
        <w:t>Послания Президента Российской Федерации Федеральному Собранию Российской Федерации от 15.01.2020 года</w:t>
      </w:r>
      <w:r>
        <w:rPr>
          <w:bCs/>
          <w:sz w:val="28"/>
          <w:szCs w:val="28"/>
        </w:rPr>
        <w:t>;</w:t>
      </w:r>
    </w:p>
    <w:p w:rsidR="00E52705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644"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 xml:space="preserve">и Самарской Губернской Думе </w:t>
      </w:r>
      <w:r w:rsidR="00B401ED" w:rsidRPr="0017667D">
        <w:rPr>
          <w:bCs/>
          <w:sz w:val="28"/>
          <w:szCs w:val="28"/>
        </w:rPr>
        <w:t>от 03 февраля 2020 года</w:t>
      </w:r>
      <w:r>
        <w:rPr>
          <w:sz w:val="28"/>
          <w:szCs w:val="28"/>
        </w:rPr>
        <w:t>;</w:t>
      </w:r>
    </w:p>
    <w:p w:rsidR="00B401ED" w:rsidRDefault="00B401ED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Постановления</w:t>
      </w:r>
      <w:r w:rsidRPr="00B152B6">
        <w:rPr>
          <w:spacing w:val="-2"/>
          <w:sz w:val="28"/>
          <w:szCs w:val="28"/>
        </w:rPr>
        <w:t xml:space="preserve"> Правительства Самарской области от 25.10.2019 № 749 «О </w:t>
      </w:r>
      <w:proofErr w:type="gramStart"/>
      <w:r w:rsidRPr="00B152B6">
        <w:rPr>
          <w:spacing w:val="-2"/>
          <w:sz w:val="28"/>
          <w:szCs w:val="28"/>
        </w:rPr>
        <w:t>соглашениях</w:t>
      </w:r>
      <w:proofErr w:type="gramEnd"/>
      <w:r w:rsidRPr="00B152B6">
        <w:rPr>
          <w:spacing w:val="-2"/>
          <w:sz w:val="28"/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</w:t>
      </w:r>
      <w:r w:rsidR="003C2DFB">
        <w:rPr>
          <w:spacing w:val="-2"/>
          <w:sz w:val="28"/>
          <w:szCs w:val="28"/>
        </w:rPr>
        <w:t>;</w:t>
      </w:r>
    </w:p>
    <w:p w:rsidR="009A5819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 w:rsidR="00D77163"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B059AF">
        <w:rPr>
          <w:b/>
          <w:sz w:val="28"/>
          <w:szCs w:val="28"/>
        </w:rPr>
        <w:t xml:space="preserve"> на 2021</w:t>
      </w:r>
      <w:r w:rsidRPr="00453082">
        <w:rPr>
          <w:b/>
          <w:sz w:val="28"/>
          <w:szCs w:val="28"/>
        </w:rPr>
        <w:t xml:space="preserve"> год и </w:t>
      </w:r>
      <w:proofErr w:type="gramStart"/>
      <w:r w:rsidRPr="00453082">
        <w:rPr>
          <w:b/>
          <w:sz w:val="28"/>
          <w:szCs w:val="28"/>
        </w:rPr>
        <w:t>на</w:t>
      </w:r>
      <w:proofErr w:type="gramEnd"/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B059AF">
        <w:rPr>
          <w:b/>
          <w:sz w:val="28"/>
          <w:szCs w:val="28"/>
        </w:rPr>
        <w:t>22</w:t>
      </w:r>
      <w:r w:rsidRPr="00453082">
        <w:rPr>
          <w:b/>
          <w:sz w:val="28"/>
          <w:szCs w:val="28"/>
        </w:rPr>
        <w:t xml:space="preserve"> и 202</w:t>
      </w:r>
      <w:r w:rsidR="00B059AF">
        <w:rPr>
          <w:b/>
          <w:sz w:val="28"/>
          <w:szCs w:val="28"/>
        </w:rPr>
        <w:t>3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>поли</w:t>
      </w:r>
      <w:r w:rsidR="003C2DFB">
        <w:rPr>
          <w:rFonts w:ascii="Times New Roman" w:hAnsi="Times New Roman" w:cs="Times New Roman"/>
          <w:sz w:val="28"/>
          <w:szCs w:val="28"/>
        </w:rPr>
        <w:t xml:space="preserve">тики содержат цели, задачи и </w:t>
      </w:r>
      <w:proofErr w:type="gramStart"/>
      <w:r w:rsidR="003C2DFB">
        <w:rPr>
          <w:rFonts w:ascii="Times New Roman" w:hAnsi="Times New Roman" w:cs="Times New Roman"/>
          <w:sz w:val="28"/>
          <w:szCs w:val="28"/>
        </w:rPr>
        <w:t>при</w:t>
      </w:r>
      <w:r w:rsidRPr="00453082">
        <w:rPr>
          <w:rFonts w:ascii="Times New Roman" w:hAnsi="Times New Roman" w:cs="Times New Roman"/>
          <w:sz w:val="28"/>
          <w:szCs w:val="28"/>
        </w:rPr>
        <w:t>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</w:t>
      </w:r>
      <w:r w:rsidR="003C2DFB">
        <w:rPr>
          <w:rFonts w:ascii="Times New Roman" w:hAnsi="Times New Roman" w:cs="Times New Roman"/>
          <w:sz w:val="28"/>
          <w:szCs w:val="28"/>
        </w:rPr>
        <w:t>ванием бюджетных средств на 2021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C2DFB">
        <w:rPr>
          <w:rFonts w:ascii="Times New Roman" w:hAnsi="Times New Roman" w:cs="Times New Roman"/>
          <w:sz w:val="28"/>
          <w:szCs w:val="28"/>
        </w:rPr>
        <w:t>22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3C2DFB">
        <w:rPr>
          <w:rFonts w:ascii="Times New Roman" w:hAnsi="Times New Roman" w:cs="Times New Roman"/>
          <w:sz w:val="28"/>
          <w:szCs w:val="28"/>
        </w:rPr>
        <w:t>3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Главной целью бюджетнойполитики остаётся обеспечение сбалансированности и устойчивости бюджета муниципального района Борский Самарской области при безусловном исполнении всех обязательств и выполнении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6C584F" w:rsidRPr="00453082" w:rsidRDefault="006C584F" w:rsidP="00870945">
      <w:pPr>
        <w:pStyle w:val="afffe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Style w:val="fontstyle01"/>
        </w:rPr>
        <w:t>развитие региональных муниципальных информационных систем управления общественными финансами, работа по интеграции муниципальных систем с государственной информационной системой «Электронный бюджет»;</w:t>
      </w:r>
    </w:p>
    <w:p w:rsidR="00FF07AF" w:rsidRPr="00453082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повышение эффективности финансовых взаимоотношений с бюджетами сельских поселений;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 повышение эффективности бюджетных расходов и обеспечение сокращения расходов районного бюджета;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районного бюджета должна осуществляться через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FF07AF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</w:p>
    <w:p w:rsidR="00B16DF8" w:rsidRDefault="00B16DF8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</w:p>
    <w:p w:rsidR="00B16DF8" w:rsidRDefault="00B16DF8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45" w:rsidRPr="00E90B56" w:rsidRDefault="00870945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870945" w:rsidRPr="00E90B56" w:rsidRDefault="00870945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7A6BB6" w:rsidRPr="00505ADD" w:rsidRDefault="003E4A60" w:rsidP="003E4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BB6" w:rsidRPr="00505ADD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7A6BB6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7A6BB6" w:rsidRPr="00505ADD">
        <w:rPr>
          <w:rFonts w:ascii="Times New Roman" w:hAnsi="Times New Roman" w:cs="Times New Roman"/>
          <w:sz w:val="28"/>
          <w:szCs w:val="28"/>
        </w:rPr>
        <w:t xml:space="preserve"> на 2021-2023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</w:t>
      </w:r>
      <w:r w:rsidR="005D20CB">
        <w:rPr>
          <w:rFonts w:ascii="Times New Roman" w:hAnsi="Times New Roman" w:cs="Times New Roman"/>
          <w:sz w:val="28"/>
          <w:szCs w:val="28"/>
        </w:rPr>
        <w:t xml:space="preserve">ости в консолидированный бюджет, что является </w:t>
      </w:r>
      <w:r w:rsidR="008608C4" w:rsidRPr="00505ADD">
        <w:rPr>
          <w:rFonts w:ascii="Times New Roman" w:hAnsi="Times New Roman" w:cs="Times New Roman"/>
          <w:sz w:val="28"/>
          <w:szCs w:val="28"/>
        </w:rPr>
        <w:t>важнейшей задачей в условиях сохраняющейся нестабильности экономической ситуации</w:t>
      </w:r>
      <w:r w:rsidR="008608C4">
        <w:rPr>
          <w:rFonts w:ascii="Times New Roman" w:hAnsi="Times New Roman" w:cs="Times New Roman"/>
          <w:sz w:val="28"/>
          <w:szCs w:val="28"/>
        </w:rPr>
        <w:t>.</w:t>
      </w:r>
    </w:p>
    <w:p w:rsidR="005D20CB" w:rsidRDefault="005D20C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956E10">
        <w:rPr>
          <w:b/>
          <w:color w:val="000000"/>
          <w:sz w:val="28"/>
          <w:szCs w:val="28"/>
        </w:rPr>
        <w:t>политики на 2021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956E10">
        <w:rPr>
          <w:b/>
          <w:color w:val="000000"/>
          <w:sz w:val="28"/>
          <w:szCs w:val="28"/>
        </w:rPr>
        <w:t>22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956E10">
        <w:rPr>
          <w:b/>
          <w:color w:val="000000"/>
          <w:sz w:val="28"/>
          <w:szCs w:val="28"/>
        </w:rPr>
        <w:t>3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="008A49D1">
        <w:rPr>
          <w:b/>
          <w:sz w:val="28"/>
          <w:szCs w:val="28"/>
        </w:rPr>
        <w:t>обязательств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в обеспечении отдельных категорий граждан доступным и комфортным жильем;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971D4"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межбюджетных трансфертов бюджетам поселений с учетом приоритетных направлений финансовой помощи.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956E10">
        <w:rPr>
          <w:rFonts w:ascii="Times New Roman" w:hAnsi="Times New Roman" w:cs="Times New Roman"/>
          <w:sz w:val="28"/>
          <w:szCs w:val="28"/>
        </w:rPr>
        <w:t>й по состоянию на 1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на федеральном уровне минимального размера оплаты труда.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B16DF8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1D2" w:rsidRPr="00F12B2A" w:rsidRDefault="000821D2" w:rsidP="000821D2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Pr="00F12B2A">
        <w:rPr>
          <w:b/>
          <w:color w:val="000000"/>
          <w:sz w:val="28"/>
          <w:szCs w:val="28"/>
        </w:rPr>
        <w:t xml:space="preserve">. </w:t>
      </w:r>
      <w:r w:rsidR="00B7274A">
        <w:rPr>
          <w:b/>
          <w:color w:val="000000"/>
          <w:sz w:val="28"/>
          <w:szCs w:val="28"/>
        </w:rPr>
        <w:t>Основные приоритеты</w:t>
      </w:r>
      <w:r w:rsidRPr="00F12B2A">
        <w:rPr>
          <w:b/>
          <w:color w:val="000000"/>
          <w:sz w:val="28"/>
          <w:szCs w:val="28"/>
        </w:rPr>
        <w:t xml:space="preserve"> налоговой политики</w:t>
      </w:r>
    </w:p>
    <w:p w:rsidR="000821D2" w:rsidRPr="00F12B2A" w:rsidRDefault="000821D2" w:rsidP="000821D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22</w:t>
      </w:r>
      <w:r w:rsidRPr="00F12B2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3</w:t>
      </w:r>
      <w:r w:rsidRPr="00F12B2A">
        <w:rPr>
          <w:b/>
          <w:color w:val="000000"/>
          <w:sz w:val="28"/>
          <w:szCs w:val="28"/>
        </w:rPr>
        <w:t xml:space="preserve"> годов</w:t>
      </w:r>
    </w:p>
    <w:p w:rsidR="000821D2" w:rsidRDefault="000821D2" w:rsidP="000821D2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21D2" w:rsidRDefault="000821D2" w:rsidP="000821D2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</w:t>
      </w:r>
      <w:r>
        <w:rPr>
          <w:rFonts w:ascii="Times New Roman" w:hAnsi="Times New Roman" w:cs="Times New Roman"/>
          <w:sz w:val="28"/>
          <w:szCs w:val="28"/>
        </w:rPr>
        <w:t>на 2021-2023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0821D2" w:rsidRPr="002579E7" w:rsidRDefault="000821D2" w:rsidP="000821D2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2579E7" w:rsidRDefault="000821D2" w:rsidP="000821D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>-формирование благоприятного инвестиционного климата на территории района для повышения инвестиционной и предпринимательской активности;</w:t>
      </w:r>
    </w:p>
    <w:p w:rsidR="000821D2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0821D2" w:rsidRDefault="000821D2" w:rsidP="000821D2">
      <w:pPr>
        <w:spacing w:line="36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</w:rPr>
        <w:t>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и выполнение в полном объеме утвержденных годовых назначений по доходам  бюджета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>
        <w:rPr>
          <w:rStyle w:val="fontstyle01"/>
        </w:rPr>
        <w:t>;</w:t>
      </w:r>
    </w:p>
    <w:p w:rsidR="00870945" w:rsidRDefault="00870945" w:rsidP="00870945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-организация работы по проведению мероприятий по легализации оплаты труда для увеличения поступлений в бюджет налога на доходы физических лиц;</w:t>
      </w:r>
    </w:p>
    <w:p w:rsidR="00870945" w:rsidRDefault="00870945" w:rsidP="0087094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разъяснительной работы</w:t>
      </w:r>
      <w:r w:rsidRPr="009C36F2">
        <w:rPr>
          <w:rFonts w:ascii="Times New Roman" w:hAnsi="Times New Roman" w:cs="Times New Roman"/>
          <w:color w:val="000000"/>
          <w:sz w:val="28"/>
          <w:szCs w:val="28"/>
        </w:rPr>
        <w:t xml:space="preserve"> среди лиц, занимаю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нелегальной деятельностью, оказание помощи</w:t>
      </w:r>
      <w:r w:rsidRPr="009C36F2"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получение статуса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населения;</w:t>
      </w:r>
    </w:p>
    <w:p w:rsidR="00870945" w:rsidRDefault="00870945" w:rsidP="00870945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-содействие дальнейшему развитию субъектов малого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предпринимательства в районе с целью повышения их участия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наполнении бюджетной системы, увеличения налоговых поступлений; </w:t>
      </w:r>
    </w:p>
    <w:p w:rsidR="00870945" w:rsidRPr="00505ADD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5A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родолжение</w:t>
      </w:r>
      <w:r w:rsidRPr="00505AD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по актуализации базы данных налоговых органов по объектам недвижимости и земельным участкам,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приведет к увеличению поступлений земельного налога, арендной платы 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455DE4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 муниципального</w:t>
      </w:r>
      <w:r w:rsidRPr="0053174C">
        <w:rPr>
          <w:rFonts w:ascii="Times New Roman" w:hAnsi="Times New Roman" w:cs="Times New Roman"/>
          <w:sz w:val="28"/>
          <w:szCs w:val="28"/>
        </w:rPr>
        <w:br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53174C">
        <w:rPr>
          <w:rFonts w:ascii="Times New Roman" w:hAnsi="Times New Roman" w:cs="Times New Roman"/>
          <w:sz w:val="28"/>
          <w:szCs w:val="28"/>
        </w:rPr>
        <w:t>, а также бюджетов сельских поселениймуниципального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Борский Самарской области.</w:t>
      </w:r>
    </w:p>
    <w:p w:rsidR="000821D2" w:rsidRPr="00BC0F31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31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проведение мониторинга обеспечения своевременного и полного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выполнения налогоплательщиками налоговых обязательств;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805407" w:rsidRDefault="00805407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использования;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 муниципального района Борский в целях увеличения доходов от использования и продажи земельных ресурсов.</w:t>
      </w:r>
    </w:p>
    <w:p w:rsidR="00BC0F31" w:rsidRDefault="00BC0F31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F07AF" w:rsidRPr="00D24D38" w:rsidRDefault="00BC0F31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FF07AF" w:rsidRPr="00D24D38">
        <w:rPr>
          <w:b/>
          <w:sz w:val="28"/>
          <w:szCs w:val="28"/>
        </w:rPr>
        <w:t>. Основные направления политики в сфере межбюджетных отношений.</w:t>
      </w:r>
    </w:p>
    <w:p w:rsidR="001B32C4" w:rsidRDefault="001B32C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1D4" w:rsidRDefault="00956E10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на 2021-2023</w:t>
      </w:r>
      <w:r w:rsidR="00F971D4"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первоочередных задач следует обозначить выравнивание уровня бюджетной обеспеченности поселений муниципального района, обеспечение сбалансированности и поддержка платежеспособности бюджетов поселений с целью обеспечения бюджетов поселений средствами, необходимыми для исполнения возложенных на них полномочий.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</w:t>
      </w:r>
      <w:r w:rsidR="00956E10">
        <w:rPr>
          <w:rFonts w:ascii="Times New Roman" w:hAnsi="Times New Roman" w:cs="Times New Roman"/>
          <w:sz w:val="28"/>
          <w:szCs w:val="28"/>
        </w:rPr>
        <w:t>ия межбюджетных отношений в 2021-2023 годов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местных бюджетов, в том числе за счет увеличения доли собственных доходных источников;</w:t>
      </w:r>
    </w:p>
    <w:p w:rsidR="00F971D4" w:rsidRDefault="00F971D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исполнение органами местного самоуправления муниципа</w:t>
      </w:r>
      <w:r w:rsidR="00482D43">
        <w:rPr>
          <w:rFonts w:ascii="Times New Roman" w:hAnsi="Times New Roman" w:cs="Times New Roman"/>
          <w:sz w:val="28"/>
          <w:szCs w:val="28"/>
        </w:rPr>
        <w:t>льного района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по наращиванию доходной базы бюджетов поселений, 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будет уделяться работе, направленной на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финансовой дисциплины органов местного самоуправления, улучшение показателей местных бюджетов, а также контролю соблюдения основных условий предоставления межбюджетных трансфертов из районного бюджета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BC0F31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муниц</w:t>
      </w:r>
      <w:r w:rsidR="00CE5270">
        <w:rPr>
          <w:rFonts w:ascii="Times New Roman" w:hAnsi="Times New Roman" w:cs="Times New Roman"/>
          <w:sz w:val="28"/>
          <w:szCs w:val="28"/>
        </w:rPr>
        <w:t>ипального район</w:t>
      </w:r>
      <w:r w:rsidR="006621F1">
        <w:rPr>
          <w:rFonts w:ascii="Times New Roman" w:hAnsi="Times New Roman" w:cs="Times New Roman"/>
          <w:sz w:val="28"/>
          <w:szCs w:val="28"/>
        </w:rPr>
        <w:t>а  области в 2021</w:t>
      </w:r>
      <w:r w:rsidR="00CE5270">
        <w:rPr>
          <w:rFonts w:ascii="Times New Roman" w:hAnsi="Times New Roman" w:cs="Times New Roman"/>
          <w:sz w:val="28"/>
          <w:szCs w:val="28"/>
        </w:rPr>
        <w:t>-202</w:t>
      </w:r>
      <w:r w:rsidR="006621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финансовой устойчивости районного бюджета, которая основана  на принципах безусловного и своевременного исполнения и обслуживания принятых долговых обязательств муниципального района,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обязательств муниципальным районом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 муниципального района;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 реальных потребностей районного бюджета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муниципальным долгом муниципального района.</w:t>
      </w: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BC0F31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муниципального района в первую очередь будет ориентирована на соблюдение требований бюджетного законодательства, повышение эффективности процессов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районного бюджета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BC0F31" w:rsidP="00E10277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3.6</w:t>
      </w:r>
      <w:r w:rsidR="00FC3700"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FC3700"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политики в сфере</w:t>
      </w:r>
    </w:p>
    <w:p w:rsidR="00FC3700" w:rsidRDefault="00FC3700" w:rsidP="00E10277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</w:t>
      </w:r>
    </w:p>
    <w:p w:rsidR="00E214F1" w:rsidRPr="000C4138" w:rsidRDefault="00E214F1" w:rsidP="00B75D7B">
      <w:pPr>
        <w:ind w:firstLine="720"/>
        <w:jc w:val="center"/>
        <w:rPr>
          <w:b/>
          <w:color w:val="000000"/>
        </w:rPr>
      </w:pPr>
    </w:p>
    <w:p w:rsidR="00E214F1" w:rsidRPr="00E214F1" w:rsidRDefault="00E214F1" w:rsidP="00E214F1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В силу норм п. 1 ст. 269.2 БК РФ к полномочиям органов внутреннего муниципального финансового контроля относится контроль: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за соблюдением бюджетного законодательства  РФ и  иных нормативных правовых актов, регулирующих бюджетные правоотношения,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за  полнотой и  достоверностью отчетности о  реализации муниципальных программ, в том числе отчетности об исполнении муниципальных заданий.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 xml:space="preserve">Перечень объектов государственного (муниципального) финансового контроля установлен ст. 266.1 БК РФ, в которой сказано, что  объектами </w:t>
      </w:r>
      <w:r w:rsidRPr="00E214F1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финансового контроля </w:t>
      </w:r>
      <w:proofErr w:type="gramStart"/>
      <w:r w:rsidRPr="00E214F1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E214F1">
        <w:rPr>
          <w:rFonts w:ascii="Times New Roman" w:hAnsi="Times New Roman" w:cs="Times New Roman"/>
          <w:sz w:val="28"/>
          <w:szCs w:val="28"/>
        </w:rPr>
        <w:t xml:space="preserve"> в том числе муниципальные бюджетные и автономные учреждения, которые могут быть включены в  план осуществления финансового контроля.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При  осуществлении полномочий по  внутреннему муниципальному контролю органами финансового контроля: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проводятся проверки, ревизии и обследования;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объектам контроля направляются акты, заключения, представления и  (или) предписания;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органам и  должностным лицам, уполномоченным в соответствии с БК РФ, иными актами бюджетного законодательства  РФ принимать решения о  применении предусмотренных БК  РФ мер принуждения, направляются уведомления о  применении бюджетных мер принуждения;</w:t>
      </w:r>
    </w:p>
    <w:p w:rsidR="00B75D7B" w:rsidRDefault="00E214F1" w:rsidP="00E10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осуществляется производство по делам об  административных правонарушениях в порядке,установленном законодательством об  административных правонарушениях.</w:t>
      </w:r>
      <w:bookmarkStart w:id="3" w:name="_GoBack"/>
      <w:bookmarkEnd w:id="3"/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</w:t>
      </w:r>
      <w:r w:rsidR="006621F1">
        <w:rPr>
          <w:rFonts w:ascii="Times New Roman" w:hAnsi="Times New Roman" w:cs="Times New Roman"/>
          <w:sz w:val="28"/>
          <w:szCs w:val="28"/>
        </w:rPr>
        <w:t>го вида контроля  в  период 2021-2023 годов</w:t>
      </w:r>
      <w:r w:rsidRPr="009E1E7F">
        <w:rPr>
          <w:rFonts w:ascii="Times New Roman" w:hAnsi="Times New Roman" w:cs="Times New Roman"/>
          <w:sz w:val="28"/>
          <w:szCs w:val="28"/>
        </w:rPr>
        <w:t xml:space="preserve">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F12B2A" w:rsidRPr="009E1E7F" w:rsidRDefault="00B23738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и плановом периоде 2022 и 2023 </w:t>
      </w:r>
      <w:r w:rsidR="00F12B2A" w:rsidRPr="009E1E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нарушение положений бюджетного законодательства РФ и иных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sectPr w:rsidR="007D3E59" w:rsidSect="003E4A60">
      <w:pgSz w:w="11900" w:h="16800"/>
      <w:pgMar w:top="1135" w:right="985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21D2"/>
    <w:rsid w:val="00087C4D"/>
    <w:rsid w:val="00090E6A"/>
    <w:rsid w:val="00091523"/>
    <w:rsid w:val="000924CA"/>
    <w:rsid w:val="00092D16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94570"/>
    <w:rsid w:val="001A3D37"/>
    <w:rsid w:val="001A4849"/>
    <w:rsid w:val="001A4FC2"/>
    <w:rsid w:val="001A5F8F"/>
    <w:rsid w:val="001B15BC"/>
    <w:rsid w:val="001B32C4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726E4"/>
    <w:rsid w:val="002846FF"/>
    <w:rsid w:val="0029208C"/>
    <w:rsid w:val="002A1B7D"/>
    <w:rsid w:val="002A65CB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6EF"/>
    <w:rsid w:val="002F18C9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6004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2DFB"/>
    <w:rsid w:val="003C753D"/>
    <w:rsid w:val="003D15A4"/>
    <w:rsid w:val="003D60CD"/>
    <w:rsid w:val="003D6224"/>
    <w:rsid w:val="003D780E"/>
    <w:rsid w:val="003E1FEB"/>
    <w:rsid w:val="003E4A60"/>
    <w:rsid w:val="003E7822"/>
    <w:rsid w:val="003F1BA0"/>
    <w:rsid w:val="003F38F9"/>
    <w:rsid w:val="003F7D44"/>
    <w:rsid w:val="00402582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ADD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5638"/>
    <w:rsid w:val="00575C26"/>
    <w:rsid w:val="00580E90"/>
    <w:rsid w:val="005846B1"/>
    <w:rsid w:val="00596F95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4F"/>
    <w:rsid w:val="006C589B"/>
    <w:rsid w:val="006D0BA8"/>
    <w:rsid w:val="006D0BFD"/>
    <w:rsid w:val="006D11B8"/>
    <w:rsid w:val="006E0F99"/>
    <w:rsid w:val="006E206C"/>
    <w:rsid w:val="006E5832"/>
    <w:rsid w:val="006E60FE"/>
    <w:rsid w:val="006E79AD"/>
    <w:rsid w:val="007047B8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18B2"/>
    <w:rsid w:val="00744AA8"/>
    <w:rsid w:val="00745041"/>
    <w:rsid w:val="00747156"/>
    <w:rsid w:val="0075000F"/>
    <w:rsid w:val="00767E87"/>
    <w:rsid w:val="00771C88"/>
    <w:rsid w:val="007729F5"/>
    <w:rsid w:val="00774D78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08C4"/>
    <w:rsid w:val="00867360"/>
    <w:rsid w:val="00867A68"/>
    <w:rsid w:val="00870945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25C2F"/>
    <w:rsid w:val="00932905"/>
    <w:rsid w:val="009352CB"/>
    <w:rsid w:val="00952E31"/>
    <w:rsid w:val="00954604"/>
    <w:rsid w:val="00955011"/>
    <w:rsid w:val="00956E10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401ED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274A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C0F31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14D2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00B7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0793B"/>
    <w:rsid w:val="00E10277"/>
    <w:rsid w:val="00E10CEB"/>
    <w:rsid w:val="00E12442"/>
    <w:rsid w:val="00E16665"/>
    <w:rsid w:val="00E20B19"/>
    <w:rsid w:val="00E214F1"/>
    <w:rsid w:val="00E25F0E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E7A2E"/>
    <w:rsid w:val="00EF0523"/>
    <w:rsid w:val="00EF0D91"/>
    <w:rsid w:val="00EF2B4C"/>
    <w:rsid w:val="00EF5C4C"/>
    <w:rsid w:val="00F01A9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DBB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28F0-0C1A-47BB-825F-1938806C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2019-10-07T06:43:00Z</cp:lastPrinted>
  <dcterms:created xsi:type="dcterms:W3CDTF">2020-11-13T05:23:00Z</dcterms:created>
  <dcterms:modified xsi:type="dcterms:W3CDTF">2020-11-13T05:23:00Z</dcterms:modified>
</cp:coreProperties>
</file>